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[I128-2179] Публичный доступ к провайдеру и кэшу открытых баз модуля i128f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930a1a8c85f882e29aad09208a583fb510367f"/>
    <w:p>
      <w:pPr>
        <w:pStyle w:val="Heading1"/>
      </w:pPr>
      <w:r>
        <w:t xml:space="preserve">[I128-2179] Публичный доступ к провайдеру и кэшу открытых баз модуля i128f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 - Управление основной конфигурацией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01:51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i128f/Providers</w:t>
      </w:r>
      <w:r>
        <w:t xml:space="preserve"> </w:t>
      </w:r>
      <w:r>
        <w:t xml:space="preserve">- добавлен раздел</w:t>
      </w:r>
      <w:r>
        <w:t xml:space="preserve"> </w:t>
      </w:r>
      <w:r>
        <w:rPr>
          <w:rStyle w:val="VerbatimChar"/>
        </w:rPr>
        <w:t xml:space="preserve">Доступ к провайдеру и кэшу открытых баз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технической Help-документации модуля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уточнен контракт доступа к корневому провайдеру и кэшу открытых баз после приватизации</w:t>
      </w:r>
      <w:r>
        <w:t xml:space="preserve"> </w:t>
      </w:r>
      <w:r>
        <w:rPr>
          <w:rStyle w:val="VerbatimChar"/>
        </w:rPr>
        <w:t xml:space="preserve">$RootDP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$Databases</w:t>
      </w:r>
      <w:r>
        <w:t xml:space="preserve">.</w:t>
      </w:r>
    </w:p>
    <w:p>
      <w:pPr>
        <w:pStyle w:val="BodyText"/>
      </w:pPr>
      <w:r>
        <w:t xml:space="preserve">Раздел поясняет, что эти свойства являются внутренним состоянием модуля, а внешний код должен обращаться через</w:t>
      </w:r>
      <w:r>
        <w:t xml:space="preserve"> </w:t>
      </w:r>
      <w:r>
        <w:rPr>
          <w:rStyle w:val="VerbatimChar"/>
        </w:rPr>
        <w:t xml:space="preserve">GetRootDP()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GetRootAdminDP()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GetDb()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OpenDbByMnemonicName()</w:t>
      </w:r>
      <w:r>
        <w:t xml:space="preserve">. Также указано, что прямое изменение внутреннего состояния может нарушить повторное использование объектов баз, режим</w:t>
      </w:r>
      <w:r>
        <w:t xml:space="preserve"> </w:t>
      </w:r>
      <w:r>
        <w:rPr>
          <w:rStyle w:val="VerbatimChar"/>
        </w:rPr>
        <w:t xml:space="preserve">ReadOnly</w:t>
      </w:r>
      <w:r>
        <w:t xml:space="preserve"> </w:t>
      </w:r>
      <w:r>
        <w:t xml:space="preserve">и назначение индивидуального провайдера из INI базы.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69"/>
    <w:p>
      <w:pPr>
        <w:pStyle w:val="Heading3"/>
      </w:pPr>
      <w:r>
        <w:t xml:space="preserve">1.1. 🔗 Соответствует задача: I128-2169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[I128-2169]</w:t>
        </w:r>
      </w:hyperlink>
      <w:r>
        <w:t xml:space="preserve"> </w:t>
      </w:r>
      <w:r>
        <w:t xml:space="preserve">Объявление переменных $RootDP и $Databases модуля i128f приватными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6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6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[I128-2179] Публичный доступ к провайдеру и кэшу открытых баз модуля i128f</dc:title>
  <dc:creator/>
  <cp:keywords/>
  <dcterms:created xsi:type="dcterms:W3CDTF">2026-09-12T14:25:01Z</dcterms:created>
  <dcterms:modified xsi:type="dcterms:W3CDTF">2026-09-12T14:25:01Z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